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jc w:val="center"/>
        <w:tblBorders>
          <w:bottom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587"/>
        <w:gridCol w:w="1391"/>
        <w:gridCol w:w="4612"/>
      </w:tblGrid>
      <w:tr w:rsidR="006A2D54" w:rsidTr="006A2D54">
        <w:trPr>
          <w:trHeight w:hRule="exact" w:val="1995"/>
          <w:jc w:val="center"/>
        </w:trPr>
        <w:tc>
          <w:tcPr>
            <w:tcW w:w="45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D54" w:rsidRDefault="006A2D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 xml:space="preserve">БАШКОРТОСТАН РЕСПУБЛИКАһЫ    </w:t>
            </w:r>
          </w:p>
          <w:p w:rsidR="006A2D54" w:rsidRDefault="006A2D5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 РАЙОН</w:t>
            </w:r>
          </w:p>
          <w:p w:rsidR="006A2D54" w:rsidRDefault="006A2D54">
            <w:pPr>
              <w:suppressAutoHyphens/>
              <w:ind w:firstLine="28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ИЛЕШ РАЙОНЫ</w:t>
            </w:r>
          </w:p>
          <w:p w:rsidR="006A2D54" w:rsidRDefault="00BF3243">
            <w:pPr>
              <w:suppressAutoHyphens/>
              <w:ind w:firstLine="28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АККУЗ</w:t>
            </w:r>
            <w:r w:rsidR="006A2D54">
              <w:rPr>
                <w:b/>
                <w:lang w:eastAsia="ar-SA"/>
              </w:rPr>
              <w:t xml:space="preserve"> АУЫЛ СОВЕТЫ</w:t>
            </w:r>
          </w:p>
          <w:p w:rsidR="006A2D54" w:rsidRDefault="006A2D54">
            <w:pPr>
              <w:suppressAutoHyphens/>
              <w:ind w:firstLine="28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АУЫЛ БИЛӘМӘҺЕ</w:t>
            </w:r>
          </w:p>
          <w:p w:rsidR="006A2D54" w:rsidRDefault="006A2D54">
            <w:pPr>
              <w:suppressAutoHyphens/>
              <w:ind w:firstLine="283"/>
              <w:jc w:val="center"/>
              <w:rPr>
                <w:rFonts w:ascii="ATimes" w:hAnsi="ATimes"/>
                <w:b/>
                <w:caps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ХАКИМИӘТЕ</w:t>
            </w:r>
          </w:p>
        </w:tc>
        <w:tc>
          <w:tcPr>
            <w:tcW w:w="13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D54" w:rsidRDefault="006A2D54">
            <w:pPr>
              <w:suppressAutoHyphens/>
              <w:snapToGrid w:val="0"/>
              <w:jc w:val="center"/>
              <w:rPr>
                <w:rFonts w:ascii="ATimes" w:eastAsia="Times New Roman" w:hAnsi="ATime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167005</wp:posOffset>
                  </wp:positionV>
                  <wp:extent cx="825500" cy="9067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A2D54" w:rsidRDefault="006A2D54">
            <w:pPr>
              <w:suppressAutoHyphens/>
              <w:jc w:val="center"/>
              <w:rPr>
                <w:rFonts w:ascii="ATimes" w:hAnsi="ATimes"/>
                <w:b/>
                <w:lang w:eastAsia="ar-SA"/>
              </w:rPr>
            </w:pPr>
          </w:p>
          <w:p w:rsidR="006A2D54" w:rsidRDefault="006A2D54">
            <w:pPr>
              <w:suppressAutoHyphens/>
              <w:jc w:val="center"/>
              <w:rPr>
                <w:rFonts w:ascii="ATimes" w:hAnsi="ATime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D54" w:rsidRDefault="006A2D54">
            <w:pPr>
              <w:suppressAutoHyphens/>
              <w:jc w:val="center"/>
              <w:rPr>
                <w:rFonts w:ascii="ATimes" w:eastAsia="Times New Roman" w:hAnsi="ATimes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 xml:space="preserve">РЕСПУБЛИКА БАШКОРТОСТАН МУНИЦИПАЛЬНЫЙ РАЙОН         ИЛИШЕВСКИЙ РАЙОН          АДМИНИСТРАЦИЯ СЕЛЬСКОГО ПОСЕЛЕНИИ </w:t>
            </w:r>
            <w:r w:rsidR="00BF3243">
              <w:rPr>
                <w:b/>
                <w:lang w:eastAsia="ar-SA"/>
              </w:rPr>
              <w:t>АККУЗЕВСКИЙ</w:t>
            </w:r>
            <w:r>
              <w:rPr>
                <w:b/>
                <w:lang w:eastAsia="ar-SA"/>
              </w:rPr>
              <w:t xml:space="preserve"> СЕЛЬСОВЕТ                               </w:t>
            </w:r>
          </w:p>
          <w:p w:rsidR="006A2D54" w:rsidRDefault="006A2D54">
            <w:pPr>
              <w:suppressAutoHyphens/>
              <w:spacing w:after="60"/>
              <w:jc w:val="center"/>
              <w:rPr>
                <w:rFonts w:ascii="ATimes" w:hAnsi="ATimes"/>
                <w:b/>
                <w:lang w:eastAsia="ar-SA"/>
              </w:rPr>
            </w:pPr>
          </w:p>
          <w:p w:rsidR="006A2D54" w:rsidRDefault="006A2D54">
            <w:pPr>
              <w:suppressAutoHyphens/>
              <w:jc w:val="center"/>
              <w:rPr>
                <w:rFonts w:ascii="ATimes" w:hAnsi="ATimes"/>
                <w:b/>
                <w:sz w:val="24"/>
                <w:szCs w:val="24"/>
                <w:lang w:eastAsia="ar-SA"/>
              </w:rPr>
            </w:pPr>
          </w:p>
        </w:tc>
      </w:tr>
    </w:tbl>
    <w:p w:rsidR="006A2D54" w:rsidRDefault="006A2D54" w:rsidP="006A2D54">
      <w:pPr>
        <w:suppressAutoHyphens/>
        <w:rPr>
          <w:lang w:eastAsia="ar-SA"/>
        </w:rPr>
      </w:pPr>
      <w:r>
        <w:rPr>
          <w:lang w:eastAsia="ar-SA"/>
        </w:rPr>
        <w:t xml:space="preserve">          </w:t>
      </w:r>
    </w:p>
    <w:tbl>
      <w:tblPr>
        <w:tblW w:w="0" w:type="auto"/>
        <w:jc w:val="center"/>
        <w:tblInd w:w="-11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78"/>
        <w:gridCol w:w="1559"/>
        <w:gridCol w:w="4419"/>
      </w:tblGrid>
      <w:tr w:rsidR="006A2D54" w:rsidTr="006A2D54">
        <w:trPr>
          <w:jc w:val="center"/>
        </w:trPr>
        <w:tc>
          <w:tcPr>
            <w:tcW w:w="4278" w:type="dxa"/>
            <w:hideMark/>
          </w:tcPr>
          <w:p w:rsidR="006A2D54" w:rsidRDefault="006A2D54">
            <w:pPr>
              <w:suppressAutoHyphens/>
              <w:overflowPunct w:val="0"/>
              <w:autoSpaceDE w:val="0"/>
              <w:snapToGrid w:val="0"/>
              <w:spacing w:after="60"/>
              <w:rPr>
                <w:rFonts w:ascii="ATimes" w:hAnsi="ATimes"/>
                <w:b/>
                <w:sz w:val="28"/>
                <w:szCs w:val="24"/>
                <w:lang w:val="en-US"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БОЙОРО</w:t>
            </w:r>
            <w:r>
              <w:rPr>
                <w:rFonts w:ascii="ATimes" w:hAnsi="ATimes"/>
                <w:b/>
                <w:sz w:val="28"/>
                <w:szCs w:val="28"/>
                <w:lang w:val="en-US" w:eastAsia="ar-SA"/>
              </w:rPr>
              <w:t></w:t>
            </w:r>
          </w:p>
        </w:tc>
        <w:tc>
          <w:tcPr>
            <w:tcW w:w="1559" w:type="dxa"/>
            <w:hideMark/>
          </w:tcPr>
          <w:p w:rsidR="006A2D54" w:rsidRDefault="006A2D54">
            <w:pPr>
              <w:suppressAutoHyphens/>
              <w:overflowPunct w:val="0"/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4419" w:type="dxa"/>
            <w:hideMark/>
          </w:tcPr>
          <w:p w:rsidR="006A2D54" w:rsidRDefault="006A2D54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РАСПОРЯЖЕНИЕ</w:t>
            </w:r>
          </w:p>
        </w:tc>
      </w:tr>
    </w:tbl>
    <w:p w:rsidR="006A2D54" w:rsidRDefault="006A2D54" w:rsidP="006A2D54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242"/>
        <w:gridCol w:w="567"/>
        <w:gridCol w:w="283"/>
        <w:gridCol w:w="1358"/>
        <w:gridCol w:w="1134"/>
        <w:gridCol w:w="652"/>
        <w:gridCol w:w="625"/>
        <w:gridCol w:w="862"/>
        <w:gridCol w:w="738"/>
        <w:gridCol w:w="361"/>
        <w:gridCol w:w="533"/>
        <w:gridCol w:w="361"/>
        <w:gridCol w:w="1539"/>
        <w:gridCol w:w="1112"/>
      </w:tblGrid>
      <w:tr w:rsidR="006A2D54" w:rsidTr="006A2D54">
        <w:tc>
          <w:tcPr>
            <w:tcW w:w="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pStyle w:val="a3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BF324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54" w:rsidRDefault="006A2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</w:tbl>
    <w:p w:rsidR="006A2D54" w:rsidRDefault="006A2D54" w:rsidP="006A2D54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0"/>
          <w:lang w:eastAsia="ar-SA"/>
        </w:rPr>
      </w:pP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«О внесении изменений и дополнений 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28 Федерального закона от 06.10.2003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и провести публичные слушания 16 ноября 2018 года в 15:00 часов в зале заседаний Администрации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по вопросу «О проекте решения Совета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A2D54" w:rsidRDefault="006A2D54" w:rsidP="006A2D54">
      <w:pPr>
        <w:pStyle w:val="3"/>
        <w:spacing w:after="0" w:line="36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6A2D54" w:rsidRDefault="00BF3243" w:rsidP="006A2D54">
      <w:pPr>
        <w:pStyle w:val="3"/>
        <w:spacing w:after="0" w:line="360" w:lineRule="auto"/>
        <w:ind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Ф.Ф.</w:t>
      </w:r>
      <w:r w:rsidR="006A2D54">
        <w:rPr>
          <w:sz w:val="28"/>
          <w:szCs w:val="28"/>
        </w:rPr>
        <w:t xml:space="preserve"> - председатель Комиссии, депутат от избирательного округа № 6;</w:t>
      </w:r>
    </w:p>
    <w:p w:rsidR="006A2D54" w:rsidRDefault="00BF3243" w:rsidP="006A2D5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Ахметянов</w:t>
      </w:r>
      <w:proofErr w:type="spellEnd"/>
      <w:r>
        <w:rPr>
          <w:sz w:val="28"/>
          <w:szCs w:val="28"/>
        </w:rPr>
        <w:t xml:space="preserve"> З.Х</w:t>
      </w:r>
      <w:r w:rsidR="006A2D54">
        <w:rPr>
          <w:sz w:val="28"/>
          <w:szCs w:val="28"/>
        </w:rPr>
        <w:t xml:space="preserve">. - заместитель председателя Комиссии, депутат от избирательного округа № 5; </w:t>
      </w: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Ф.В</w:t>
      </w:r>
      <w:r w:rsidR="006A2D54">
        <w:rPr>
          <w:sz w:val="28"/>
          <w:szCs w:val="28"/>
        </w:rPr>
        <w:t>. – секретарь Комиссии, депутат от избирательного округа № 1.</w:t>
      </w: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публичных слушаниях и Порядок учета предложений по проектам решений Совета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 приложениям № 1 и № 2.</w:t>
      </w: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и проект решения Совета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BF3243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в установленном порядке.</w:t>
      </w: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</w:p>
    <w:p w:rsidR="006A2D54" w:rsidRDefault="006A2D54" w:rsidP="006A2D54">
      <w:pPr>
        <w:spacing w:line="360" w:lineRule="auto"/>
        <w:jc w:val="both"/>
        <w:rPr>
          <w:sz w:val="28"/>
          <w:szCs w:val="28"/>
        </w:rPr>
      </w:pPr>
    </w:p>
    <w:p w:rsidR="006A2D54" w:rsidRDefault="006A2D54" w:rsidP="006A2D5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11"/>
        <w:gridCol w:w="5060"/>
      </w:tblGrid>
      <w:tr w:rsidR="006A2D54" w:rsidTr="006A2D54">
        <w:tc>
          <w:tcPr>
            <w:tcW w:w="4857" w:type="dxa"/>
            <w:hideMark/>
          </w:tcPr>
          <w:p w:rsidR="006A2D54" w:rsidRDefault="006A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5457" w:type="dxa"/>
            <w:hideMark/>
          </w:tcPr>
          <w:p w:rsidR="006A2D54" w:rsidRDefault="00BF324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В.Р.Ахметьянов</w:t>
            </w:r>
            <w:proofErr w:type="spellEnd"/>
          </w:p>
        </w:tc>
      </w:tr>
    </w:tbl>
    <w:p w:rsidR="006A2D54" w:rsidRDefault="006A2D54" w:rsidP="006A2D54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A2D54" w:rsidRDefault="006A2D54" w:rsidP="006A2D54">
      <w:pPr>
        <w:jc w:val="right"/>
        <w:rPr>
          <w:sz w:val="24"/>
          <w:szCs w:val="24"/>
        </w:rPr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6A2D54" w:rsidP="006A2D54">
      <w:pPr>
        <w:jc w:val="right"/>
      </w:pPr>
    </w:p>
    <w:p w:rsidR="006A2D54" w:rsidRDefault="00BF3243" w:rsidP="006A2D54">
      <w:pPr>
        <w:jc w:val="right"/>
      </w:pPr>
      <w:r>
        <w:t>Пр</w:t>
      </w:r>
      <w:r w:rsidR="006A2D54">
        <w:t xml:space="preserve">иложение № 1 </w:t>
      </w:r>
    </w:p>
    <w:p w:rsidR="006A2D54" w:rsidRDefault="006A2D54" w:rsidP="006A2D54">
      <w:pPr>
        <w:jc w:val="right"/>
      </w:pPr>
      <w:r>
        <w:t>к постановлению президиума</w:t>
      </w:r>
    </w:p>
    <w:p w:rsidR="006A2D54" w:rsidRDefault="006A2D54" w:rsidP="006A2D54">
      <w:pPr>
        <w:jc w:val="right"/>
      </w:pPr>
      <w:r>
        <w:t xml:space="preserve"> Совета сельского поселения </w:t>
      </w:r>
    </w:p>
    <w:p w:rsidR="006A2D54" w:rsidRDefault="00BF3243" w:rsidP="006A2D54">
      <w:pPr>
        <w:jc w:val="right"/>
      </w:pPr>
      <w:proofErr w:type="spellStart"/>
      <w:r>
        <w:t>Аккузевский</w:t>
      </w:r>
      <w:proofErr w:type="spellEnd"/>
      <w:r w:rsidR="006A2D54">
        <w:t xml:space="preserve"> сельсовет </w:t>
      </w:r>
    </w:p>
    <w:p w:rsidR="006A2D54" w:rsidRDefault="006A2D54" w:rsidP="006A2D54">
      <w:pPr>
        <w:jc w:val="right"/>
      </w:pPr>
      <w:r>
        <w:t xml:space="preserve">муниципального района </w:t>
      </w:r>
    </w:p>
    <w:p w:rsidR="006A2D54" w:rsidRDefault="006A2D54" w:rsidP="006A2D54">
      <w:pPr>
        <w:jc w:val="right"/>
      </w:pPr>
      <w:proofErr w:type="spellStart"/>
      <w:r>
        <w:t>Илишевский</w:t>
      </w:r>
      <w:proofErr w:type="spellEnd"/>
      <w:r>
        <w:t xml:space="preserve"> район</w:t>
      </w:r>
    </w:p>
    <w:p w:rsidR="006A2D54" w:rsidRDefault="006A2D54" w:rsidP="006A2D54">
      <w:pPr>
        <w:jc w:val="right"/>
      </w:pPr>
      <w:r>
        <w:t xml:space="preserve"> Республики Башкортостан </w:t>
      </w:r>
    </w:p>
    <w:p w:rsidR="006A2D54" w:rsidRDefault="006A2D54" w:rsidP="006A2D54">
      <w:pPr>
        <w:jc w:val="right"/>
      </w:pPr>
      <w:r>
        <w:t>от 30.10.2018  № 6</w:t>
      </w:r>
    </w:p>
    <w:p w:rsidR="006A2D54" w:rsidRDefault="006A2D54" w:rsidP="006A2D54">
      <w:pPr>
        <w:jc w:val="right"/>
      </w:pPr>
    </w:p>
    <w:p w:rsidR="006A2D54" w:rsidRDefault="006A2D54" w:rsidP="006A2D54">
      <w:pPr>
        <w:jc w:val="center"/>
      </w:pPr>
      <w:r>
        <w:t>Положение</w:t>
      </w:r>
      <w:r>
        <w:br/>
        <w:t>о публичных слушаниях по проектам муниципальных правовых актов</w:t>
      </w:r>
    </w:p>
    <w:p w:rsidR="006A2D54" w:rsidRDefault="006A2D54" w:rsidP="006A2D54">
      <w:pPr>
        <w:jc w:val="right"/>
      </w:pPr>
    </w:p>
    <w:p w:rsidR="006A2D54" w:rsidRDefault="006A2D54" w:rsidP="006A2D54"/>
    <w:p w:rsidR="006A2D54" w:rsidRDefault="006A2D54" w:rsidP="006A2D5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D54" w:rsidRDefault="006A2D54" w:rsidP="006A2D54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от числа жителей, обладающим избирательным правом.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6A2D54" w:rsidRDefault="006A2D54" w:rsidP="006A2D54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D54" w:rsidRDefault="006A2D54" w:rsidP="006A2D54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6A2D54" w:rsidRDefault="006A2D54" w:rsidP="006A2D54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6A2D54" w:rsidRDefault="006A2D54" w:rsidP="006A2D5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6A2D54" w:rsidRDefault="006A2D54" w:rsidP="006A2D5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</w:p>
    <w:p w:rsidR="006A2D54" w:rsidRDefault="006A2D54" w:rsidP="006A2D54">
      <w:pPr>
        <w:ind w:left="5940"/>
      </w:pPr>
      <w:r>
        <w:t xml:space="preserve">Приложение № 2 </w:t>
      </w:r>
    </w:p>
    <w:p w:rsidR="006A2D54" w:rsidRDefault="006A2D54" w:rsidP="006A2D54">
      <w:pPr>
        <w:ind w:left="5940"/>
      </w:pPr>
      <w:r>
        <w:t>к постановлению президиума</w:t>
      </w:r>
    </w:p>
    <w:p w:rsidR="006A2D54" w:rsidRDefault="006A2D54" w:rsidP="006A2D54">
      <w:pPr>
        <w:ind w:left="5940"/>
      </w:pPr>
      <w:r>
        <w:t xml:space="preserve">Совета сельского поселения </w:t>
      </w:r>
      <w:proofErr w:type="spellStart"/>
      <w:r w:rsidR="00BF3243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</w:t>
      </w:r>
    </w:p>
    <w:p w:rsidR="006A2D54" w:rsidRDefault="006A2D54" w:rsidP="006A2D54">
      <w:pPr>
        <w:ind w:left="5940"/>
      </w:pPr>
      <w:r>
        <w:t xml:space="preserve">Республики Башкортостан </w:t>
      </w:r>
    </w:p>
    <w:p w:rsidR="006A2D54" w:rsidRDefault="006A2D54" w:rsidP="006A2D54">
      <w:pPr>
        <w:ind w:left="5954"/>
      </w:pPr>
      <w:r>
        <w:t xml:space="preserve">№ </w:t>
      </w:r>
      <w:r w:rsidR="00BF3243">
        <w:t>39</w:t>
      </w:r>
      <w:r>
        <w:t xml:space="preserve">  от 30.10.2018  </w:t>
      </w:r>
    </w:p>
    <w:p w:rsidR="006A2D54" w:rsidRDefault="006A2D54" w:rsidP="006A2D54">
      <w:pPr>
        <w:rPr>
          <w:sz w:val="24"/>
          <w:szCs w:val="24"/>
        </w:rPr>
      </w:pPr>
    </w:p>
    <w:p w:rsidR="006A2D54" w:rsidRDefault="006A2D54" w:rsidP="006A2D54">
      <w:pPr>
        <w:pStyle w:val="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Порядок</w:t>
      </w:r>
    </w:p>
    <w:p w:rsidR="006A2D54" w:rsidRDefault="006A2D54" w:rsidP="006A2D54">
      <w:pPr>
        <w:jc w:val="center"/>
        <w:rPr>
          <w:bCs/>
          <w:sz w:val="24"/>
          <w:szCs w:val="24"/>
        </w:rPr>
      </w:pPr>
      <w:r>
        <w:rPr>
          <w:bCs/>
        </w:rPr>
        <w:t xml:space="preserve">учета предложений по проектам правовых актов Совета сельского поселения </w:t>
      </w:r>
      <w:proofErr w:type="spellStart"/>
      <w:r w:rsidR="00BF3243">
        <w:rPr>
          <w:bCs/>
        </w:rPr>
        <w:t>Аккузевский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 Республики Башкортостан, а также учета граждан в его обсуждении</w:t>
      </w:r>
    </w:p>
    <w:p w:rsidR="006A2D54" w:rsidRDefault="006A2D54" w:rsidP="006A2D54">
      <w:pPr>
        <w:rPr>
          <w:u w:val="single"/>
        </w:rPr>
      </w:pPr>
    </w:p>
    <w:p w:rsidR="006A2D54" w:rsidRDefault="006A2D54" w:rsidP="006A2D54"/>
    <w:p w:rsidR="006A2D54" w:rsidRDefault="006A2D54" w:rsidP="006A2D54">
      <w:pPr>
        <w:ind w:firstLine="709"/>
        <w:jc w:val="both"/>
      </w:pPr>
      <w:r>
        <w:t xml:space="preserve">1. Жители сельского поселения </w:t>
      </w:r>
      <w:proofErr w:type="spellStart"/>
      <w:r w:rsidR="00BF3243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 имеют право в течение 10 календарных дней со дня опубликования проекта решения Совета сельского поселения </w:t>
      </w:r>
      <w:proofErr w:type="spellStart"/>
      <w:r w:rsidR="00BF3243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«О внесении изменений в Устав сельского поселения </w:t>
      </w:r>
      <w:proofErr w:type="spellStart"/>
      <w:r w:rsidR="00BF3243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Башкортостан» в письменной форме вносить предложение в Совет сельского поселения </w:t>
      </w:r>
      <w:proofErr w:type="spellStart"/>
      <w:r w:rsidR="00BF3243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(по адресу: Республика Башкортостан, </w:t>
      </w:r>
      <w:proofErr w:type="spellStart"/>
      <w:r>
        <w:t>Илишевский</w:t>
      </w:r>
      <w:proofErr w:type="spellEnd"/>
      <w:r>
        <w:t xml:space="preserve"> район, </w:t>
      </w:r>
      <w:proofErr w:type="spellStart"/>
      <w:r>
        <w:t>с.</w:t>
      </w:r>
      <w:r w:rsidR="00BF3243">
        <w:t>Аккузево</w:t>
      </w:r>
      <w:proofErr w:type="spellEnd"/>
      <w:r>
        <w:t>, ул.</w:t>
      </w:r>
      <w:r w:rsidR="00BF3243">
        <w:t>Садовая 7</w:t>
      </w:r>
      <w:r>
        <w:t>), а также участвовать в публичных слушаниях по обсуждению проекта правового акта Совета,</w:t>
      </w:r>
      <w:r>
        <w:rPr>
          <w:b/>
          <w:bCs/>
        </w:rPr>
        <w:t xml:space="preserve"> </w:t>
      </w:r>
      <w:r>
        <w:t>порядок организации и проведения, которых определяется Положением.</w:t>
      </w:r>
    </w:p>
    <w:p w:rsidR="006A2D54" w:rsidRDefault="006A2D54" w:rsidP="006A2D54">
      <w:pPr>
        <w:ind w:firstLine="709"/>
        <w:jc w:val="both"/>
      </w:pPr>
      <w:r>
        <w:t>2. Предложения по проекту</w:t>
      </w:r>
      <w:r>
        <w:rPr>
          <w:b/>
          <w:bCs/>
        </w:rPr>
        <w:t xml:space="preserve"> </w:t>
      </w:r>
      <w:r>
        <w:t>правового акта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6A2D54" w:rsidRDefault="006A2D54" w:rsidP="006A2D54">
      <w:pPr>
        <w:ind w:firstLine="709"/>
        <w:jc w:val="both"/>
      </w:pPr>
      <w:r>
        <w:t>3. Предложения по проекту правового акта учитываются комиссией по подготовке и проведению публичных слушаний (далее – Комиссия) в журнале учета предложений,  который должен быть прошит и пронумерован.</w:t>
      </w:r>
    </w:p>
    <w:p w:rsidR="006A2D54" w:rsidRDefault="006A2D54" w:rsidP="006A2D54">
      <w:pPr>
        <w:ind w:firstLine="709"/>
        <w:jc w:val="both"/>
      </w:pPr>
      <w:r>
        <w:t>4. Предложения по проекту правового акта рассматриваются, обобщаются  и учитываются Комиссией при предварительном рассмотрении проекта.</w:t>
      </w:r>
    </w:p>
    <w:p w:rsidR="006A2D54" w:rsidRDefault="006A2D54" w:rsidP="006A2D54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6A2D54" w:rsidRDefault="006A2D54" w:rsidP="006A2D54">
      <w:pPr>
        <w:ind w:firstLine="709"/>
        <w:jc w:val="both"/>
      </w:pPr>
      <w:r>
        <w:t>Указанное решение Комиссии рассматривается Советом до принятия проекта правового акта.</w:t>
      </w:r>
    </w:p>
    <w:p w:rsidR="006A2D54" w:rsidRDefault="006A2D54" w:rsidP="006A2D54">
      <w:pPr>
        <w:ind w:hanging="540"/>
      </w:pPr>
    </w:p>
    <w:p w:rsidR="006A2D54" w:rsidRDefault="006A2D54" w:rsidP="006A2D54">
      <w:pPr>
        <w:rPr>
          <w:sz w:val="24"/>
          <w:szCs w:val="24"/>
        </w:rPr>
      </w:pPr>
    </w:p>
    <w:p w:rsidR="006A2D54" w:rsidRDefault="006A2D54" w:rsidP="006A2D54"/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BF3243" w:rsidRDefault="00BF3243" w:rsidP="006A2D54">
      <w:pPr>
        <w:pStyle w:val="a5"/>
      </w:pPr>
    </w:p>
    <w:p w:rsidR="006A2D54" w:rsidRDefault="00BF3243" w:rsidP="006A2D54">
      <w:pPr>
        <w:pStyle w:val="a5"/>
      </w:pPr>
      <w:r>
        <w:t>Ж</w:t>
      </w:r>
      <w:r w:rsidR="006A2D54">
        <w:t>УРНАЛ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6"/>
        </w:rPr>
        <w:t>учета предложений по проекту решения «</w:t>
      </w:r>
      <w:r>
        <w:rPr>
          <w:b/>
          <w:sz w:val="28"/>
          <w:szCs w:val="28"/>
        </w:rPr>
        <w:t xml:space="preserve">О внесении изменений и дополнений </w:t>
      </w:r>
    </w:p>
    <w:p w:rsidR="006A2D54" w:rsidRDefault="006A2D54" w:rsidP="006A2D54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BF3243">
        <w:rPr>
          <w:b/>
          <w:sz w:val="28"/>
          <w:szCs w:val="28"/>
        </w:rPr>
        <w:t>Аккузевский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6A2D54" w:rsidRDefault="006A2D54" w:rsidP="006A2D54">
      <w:pPr>
        <w:ind w:right="895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6A2D54" w:rsidRDefault="006A2D54" w:rsidP="006A2D54">
      <w:pPr>
        <w:jc w:val="center"/>
        <w:rPr>
          <w:sz w:val="28"/>
          <w:szCs w:val="2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11"/>
        <w:gridCol w:w="2112"/>
        <w:gridCol w:w="2112"/>
        <w:gridCol w:w="2112"/>
        <w:gridCol w:w="2113"/>
        <w:gridCol w:w="4378"/>
      </w:tblGrid>
      <w:tr w:rsidR="006A2D54" w:rsidTr="006A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>Ф.И.О.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>Место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>Адрес местожительства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  <w:r>
              <w:t>Паспортные данные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Предложения</w:t>
            </w: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</w:tr>
      <w:tr w:rsidR="006A2D54" w:rsidTr="006A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both"/>
              <w:rPr>
                <w:sz w:val="24"/>
                <w:szCs w:val="24"/>
              </w:rPr>
            </w:pPr>
          </w:p>
        </w:tc>
      </w:tr>
      <w:tr w:rsidR="006A2D54" w:rsidTr="006A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rPr>
                <w:sz w:val="24"/>
                <w:szCs w:val="24"/>
              </w:rPr>
            </w:pPr>
          </w:p>
        </w:tc>
      </w:tr>
      <w:tr w:rsidR="006A2D54" w:rsidTr="006A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rPr>
                <w:sz w:val="24"/>
                <w:szCs w:val="24"/>
              </w:rPr>
            </w:pPr>
          </w:p>
        </w:tc>
      </w:tr>
      <w:tr w:rsidR="006A2D54" w:rsidTr="006A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4" w:rsidRDefault="006A2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D54" w:rsidRDefault="006A2D54">
            <w:pPr>
              <w:rPr>
                <w:sz w:val="24"/>
                <w:szCs w:val="24"/>
              </w:rPr>
            </w:pPr>
          </w:p>
        </w:tc>
      </w:tr>
    </w:tbl>
    <w:p w:rsidR="006A2D54" w:rsidRDefault="006A2D54" w:rsidP="006A2D54">
      <w:pPr>
        <w:rPr>
          <w:sz w:val="24"/>
          <w:szCs w:val="24"/>
        </w:rPr>
      </w:pPr>
    </w:p>
    <w:p w:rsidR="00F717A7" w:rsidRDefault="00F717A7"/>
    <w:sectPr w:rsidR="00F717A7" w:rsidSect="0068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A2D54"/>
    <w:rsid w:val="00680744"/>
    <w:rsid w:val="006A2D54"/>
    <w:rsid w:val="00BF3243"/>
    <w:rsid w:val="00F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4"/>
  </w:style>
  <w:style w:type="paragraph" w:styleId="1">
    <w:name w:val="heading 1"/>
    <w:basedOn w:val="a"/>
    <w:next w:val="a"/>
    <w:link w:val="10"/>
    <w:qFormat/>
    <w:rsid w:val="006A2D5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54"/>
    <w:rPr>
      <w:rFonts w:ascii="Times New Roman" w:eastAsia="Times New Roman" w:hAnsi="Times New Roman" w:cs="Times New Roman"/>
      <w:b/>
      <w:bCs/>
      <w:caps/>
      <w:spacing w:val="200"/>
      <w:sz w:val="44"/>
      <w:szCs w:val="20"/>
    </w:rPr>
  </w:style>
  <w:style w:type="paragraph" w:styleId="a3">
    <w:name w:val="header"/>
    <w:basedOn w:val="a"/>
    <w:link w:val="a4"/>
    <w:unhideWhenUsed/>
    <w:rsid w:val="006A2D5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A2D54"/>
    <w:rPr>
      <w:rFonts w:ascii="ATimes" w:eastAsia="Times New Roman" w:hAnsi="ATimes" w:cs="Times New Roman"/>
      <w:sz w:val="28"/>
      <w:szCs w:val="20"/>
    </w:rPr>
  </w:style>
  <w:style w:type="paragraph" w:styleId="a5">
    <w:name w:val="Title"/>
    <w:basedOn w:val="a"/>
    <w:link w:val="a6"/>
    <w:qFormat/>
    <w:rsid w:val="006A2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6">
    <w:name w:val="Название Знак"/>
    <w:basedOn w:val="a0"/>
    <w:link w:val="a5"/>
    <w:rsid w:val="006A2D54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Body Text Indent 3"/>
    <w:basedOn w:val="a"/>
    <w:link w:val="30"/>
    <w:semiHidden/>
    <w:unhideWhenUsed/>
    <w:rsid w:val="006A2D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2D5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6A2D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2019-01-16T07:09:00Z</dcterms:created>
  <dcterms:modified xsi:type="dcterms:W3CDTF">2019-01-16T07:24:00Z</dcterms:modified>
</cp:coreProperties>
</file>